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CE12F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380E4D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91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06E2" w:rsidRDefault="008C06E2" w:rsidP="008C06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2019 год</w:t>
      </w:r>
    </w:p>
    <w:p w:rsidR="00CE12F1" w:rsidRPr="00CE12F1" w:rsidRDefault="00CE12F1" w:rsidP="00CE1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В соответствии со ст. 156 Жилищного кодекса Российской Федерации,</w:t>
      </w:r>
      <w:r w:rsidRPr="00CE12F1">
        <w:rPr>
          <w:sz w:val="28"/>
          <w:szCs w:val="28"/>
        </w:rPr>
        <w:t xml:space="preserve"> </w:t>
      </w:r>
      <w:hyperlink r:id="rId8" w:history="1">
        <w:r w:rsidRPr="00CE12F1">
          <w:rPr>
            <w:rFonts w:ascii="Times New Roman" w:eastAsia="Times New Roman" w:hAnsi="Times New Roman" w:cs="Times New Roman"/>
            <w:sz w:val="28"/>
            <w:szCs w:val="28"/>
          </w:rPr>
          <w:t>Приказом Министерства строительства и жилищно-коммунального хозяйства Росси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йской Федерации от 27.09.2016 №</w:t>
        </w:r>
        <w:r w:rsidRPr="00CE12F1">
          <w:rPr>
            <w:rFonts w:ascii="Times New Roman" w:eastAsia="Times New Roman" w:hAnsi="Times New Roman" w:cs="Times New Roman"/>
            <w:sz w:val="28"/>
            <w:szCs w:val="28"/>
          </w:rPr>
          <w:t>668/пр</w:t>
        </w:r>
      </w:hyperlink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муниципального жилищного фонда", Уставом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 Хабаровского края</w:t>
      </w:r>
    </w:p>
    <w:p w:rsidR="00CE12F1" w:rsidRPr="00CE12F1" w:rsidRDefault="00CE12F1" w:rsidP="00CE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размеры платы за жилое помещение для нанимателей жилых помещений по договорам социального найма и собственников жилых помещений, которые не приняли решение о выборе способа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многоквартирным домом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«Село Маяк»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прилагаемые размеры платы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а пользование жилыми помещениями (платы за наем) для нанимателей жилых помещений по договорам социального найма жилых помещений и договорам найма жилых помещений муниципального жилищного фонда, которые не приняли решение о выборе способа управления многоквартирным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домом 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«Село Маяк»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CE1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 1</w:t>
        </w:r>
      </w:hyperlink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сельского поселения «Село Маяк» от 15.01.2018 № 03 "Об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домом".</w:t>
      </w: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Сборнике муниципальных правовых актов </w:t>
      </w:r>
      <w:r w:rsidR="002508E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  <w:r w:rsidR="002508E9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администрации сельского поселения «Село Маяк» в сети Интернет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01 января 2019 года</w:t>
      </w:r>
    </w:p>
    <w:p w:rsidR="00CE12F1" w:rsidRPr="00CE12F1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0E4D" w:rsidRPr="00CE12F1" w:rsidRDefault="00380E4D" w:rsidP="00380E4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BE10B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А.Н. Ильин</w:t>
      </w:r>
    </w:p>
    <w:p w:rsidR="00380E4D" w:rsidRPr="00380E4D" w:rsidRDefault="00380E4D" w:rsidP="00380E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380E4D" w:rsidRDefault="00380E4D" w:rsidP="00380E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CD3" w:rsidRDefault="00605CD3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2F1" w:rsidRDefault="00CE12F1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2F1" w:rsidRDefault="00CE12F1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2F1" w:rsidRDefault="00CE12F1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2F1" w:rsidRPr="00CE12F1" w:rsidRDefault="00CE12F1" w:rsidP="00380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2F1" w:rsidRPr="00CE12F1" w:rsidRDefault="00CE12F1" w:rsidP="002208BF">
      <w:pPr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E12F1" w:rsidRPr="00CE12F1" w:rsidRDefault="00CE12F1" w:rsidP="002208BF">
      <w:pPr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E12F1" w:rsidRPr="00CE12F1" w:rsidRDefault="00CE12F1" w:rsidP="002208BF">
      <w:pPr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CE12F1" w:rsidRPr="00CE12F1" w:rsidRDefault="002208BF" w:rsidP="002208BF">
      <w:pPr>
        <w:spacing w:after="0" w:line="24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07.12.2018 № 91</w:t>
      </w:r>
    </w:p>
    <w:p w:rsidR="00CE12F1" w:rsidRPr="00CE12F1" w:rsidRDefault="00CE12F1" w:rsidP="00CE12F1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2F1" w:rsidRPr="00CE12F1" w:rsidRDefault="00CE12F1" w:rsidP="00CE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Размер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2019 год.</w:t>
      </w:r>
    </w:p>
    <w:p w:rsidR="00CE12F1" w:rsidRPr="00CE12F1" w:rsidRDefault="00CE12F1" w:rsidP="00CE1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1"/>
        <w:gridCol w:w="1989"/>
        <w:gridCol w:w="1800"/>
        <w:gridCol w:w="1800"/>
      </w:tblGrid>
      <w:tr w:rsidR="00CE12F1" w:rsidRPr="00CE12F1" w:rsidTr="008A2307">
        <w:trPr>
          <w:trHeight w:val="660"/>
          <w:tblCellSpacing w:w="0" w:type="dxa"/>
        </w:trPr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работ и услуг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Размер платы </w:t>
            </w:r>
          </w:p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месяц с НДС, руб.</w:t>
            </w:r>
          </w:p>
        </w:tc>
      </w:tr>
      <w:tr w:rsidR="00CE12F1" w:rsidRPr="00CE12F1" w:rsidTr="008A2307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2F1" w:rsidRPr="00CE12F1" w:rsidRDefault="00CE12F1" w:rsidP="008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2F1" w:rsidRPr="00CE12F1" w:rsidRDefault="00CE12F1" w:rsidP="008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2018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2019</w:t>
            </w:r>
          </w:p>
        </w:tc>
      </w:tr>
      <w:tr w:rsidR="00CE12F1" w:rsidRPr="00CE12F1" w:rsidTr="008A2307">
        <w:trPr>
          <w:trHeight w:val="9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E12F1" w:rsidRPr="00CE12F1" w:rsidTr="008A2307">
        <w:trPr>
          <w:trHeight w:val="21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Содержание и ремонт 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помещения: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12F1" w:rsidRPr="00CE12F1" w:rsidTr="008A2307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 В жилых домах, благоустроенного жилого фонда в кирпичном или ж/б исполнении с централизованным теплоснабжением, холодным водообеспечением и водоотведением.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E12F1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 м</w:t>
              </w:r>
            </w:smartTag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кв. общей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площади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9,14</w:t>
            </w:r>
          </w:p>
        </w:tc>
      </w:tr>
      <w:tr w:rsidR="00CE12F1" w:rsidRPr="00CE12F1" w:rsidTr="008A2307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 В жилых домах, благоустроенного деревянного жилого фонда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E12F1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1 м</w:t>
              </w:r>
            </w:smartTag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кв. общей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площади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9,14</w:t>
            </w:r>
          </w:p>
        </w:tc>
      </w:tr>
    </w:tbl>
    <w:p w:rsidR="00CE12F1" w:rsidRPr="00CE12F1" w:rsidRDefault="00CE12F1" w:rsidP="00CE1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CE12F1" w:rsidRPr="00CE12F1" w:rsidRDefault="00CE12F1" w:rsidP="00CE1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color w:val="000000"/>
          <w:sz w:val="28"/>
          <w:szCs w:val="28"/>
        </w:rPr>
        <w:t>1. Из размера платы исключена стоимость сбора за вывоз и утилизацию твердых коммунальных отходов (ТКО)</w:t>
      </w:r>
    </w:p>
    <w:p w:rsidR="00CE12F1" w:rsidRPr="00CE12F1" w:rsidRDefault="00CE12F1" w:rsidP="00CE1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2F1" w:rsidRPr="00CE12F1" w:rsidRDefault="00CE12F1" w:rsidP="00CE12F1">
      <w:pPr>
        <w:spacing w:after="0" w:line="240" w:lineRule="exact"/>
        <w:ind w:left="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2F1" w:rsidRPr="00CE12F1" w:rsidRDefault="00CE12F1" w:rsidP="002208B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E12F1" w:rsidRPr="00CE12F1" w:rsidRDefault="00CE12F1" w:rsidP="002208B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E12F1" w:rsidRPr="00CE12F1" w:rsidRDefault="00CE12F1" w:rsidP="002208B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CE12F1" w:rsidRPr="00CE12F1" w:rsidRDefault="002208BF" w:rsidP="002208B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07.12.2018 № 91</w:t>
      </w:r>
    </w:p>
    <w:p w:rsidR="00CE12F1" w:rsidRDefault="00CE12F1" w:rsidP="00CE12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208BF" w:rsidRPr="00CE12F1" w:rsidRDefault="002208BF" w:rsidP="00CE12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F1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жилыми помещениями (платы за наем) для нанимателей жилых помещений по договорам социального найма 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2019 год</w:t>
      </w:r>
    </w:p>
    <w:p w:rsidR="00CE12F1" w:rsidRPr="00CE12F1" w:rsidRDefault="00CE12F1" w:rsidP="00CE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F1" w:rsidRPr="00CE12F1" w:rsidRDefault="00CE12F1" w:rsidP="00CE12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0"/>
        <w:gridCol w:w="2340"/>
        <w:gridCol w:w="1960"/>
        <w:gridCol w:w="1820"/>
      </w:tblGrid>
      <w:tr w:rsidR="00CE12F1" w:rsidRPr="00CE12F1" w:rsidTr="008A2307">
        <w:trPr>
          <w:trHeight w:val="763"/>
          <w:tblCellSpacing w:w="0" w:type="dxa"/>
        </w:trPr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работ и услуг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E12F1" w:rsidRPr="00CE12F1" w:rsidRDefault="00CE12F1" w:rsidP="008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 в месяц</w:t>
            </w:r>
          </w:p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НДС,  руб.</w:t>
            </w:r>
          </w:p>
        </w:tc>
      </w:tr>
      <w:tr w:rsidR="00CE12F1" w:rsidRPr="00CE12F1" w:rsidTr="008A2307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2F1" w:rsidRPr="00CE12F1" w:rsidRDefault="00CE12F1" w:rsidP="008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2F1" w:rsidRPr="00CE12F1" w:rsidRDefault="00CE12F1" w:rsidP="008A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CE12F1" w:rsidRPr="00CE12F1" w:rsidTr="008A2307">
        <w:trPr>
          <w:trHeight w:val="749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2F1" w:rsidRPr="00CE12F1" w:rsidTr="008A2307">
        <w:trPr>
          <w:trHeight w:val="1575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1. Наем  жилых помещений в благоустроенных МКД в кирпичном исполнении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кв. м.  общей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площади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8,42</w:t>
            </w:r>
          </w:p>
        </w:tc>
      </w:tr>
      <w:tr w:rsidR="00CE12F1" w:rsidRPr="00CE12F1" w:rsidTr="008A2307">
        <w:trPr>
          <w:trHeight w:val="390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2.  Наем  жилых помещений в благоустроенных домах в деревянном исполнении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кв. м.  общей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площади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8,42</w:t>
            </w:r>
          </w:p>
        </w:tc>
      </w:tr>
      <w:tr w:rsidR="00CE12F1" w:rsidRPr="00CE12F1" w:rsidTr="008A2307">
        <w:trPr>
          <w:trHeight w:val="315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3. Наем жилых помещений в неблагоустроенных домах в деревянном исполнении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кв. м.  общей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площади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жилого </w:t>
            </w: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2F1" w:rsidRPr="00CE12F1" w:rsidRDefault="00CE12F1" w:rsidP="008A2307">
            <w:pPr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2F1">
              <w:rPr>
                <w:rFonts w:ascii="Times New Roman" w:eastAsia="Times New Roman" w:hAnsi="Times New Roman" w:cs="Times New Roman"/>
                <w:sz w:val="28"/>
                <w:szCs w:val="28"/>
              </w:rPr>
              <w:t>6,45</w:t>
            </w:r>
          </w:p>
        </w:tc>
      </w:tr>
    </w:tbl>
    <w:p w:rsidR="00CE12F1" w:rsidRPr="00CE12F1" w:rsidRDefault="00CE12F1" w:rsidP="00CE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2F1" w:rsidRPr="00CE12F1" w:rsidRDefault="00CE12F1" w:rsidP="00CE12F1">
      <w:pPr>
        <w:tabs>
          <w:tab w:val="left" w:pos="9025"/>
        </w:tabs>
        <w:spacing w:line="240" w:lineRule="exact"/>
        <w:jc w:val="both"/>
        <w:rPr>
          <w:sz w:val="28"/>
          <w:szCs w:val="28"/>
        </w:rPr>
      </w:pPr>
    </w:p>
    <w:p w:rsidR="00F71C20" w:rsidRPr="00CE12F1" w:rsidRDefault="00F71C20" w:rsidP="00F71C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1C20" w:rsidRPr="00CE12F1" w:rsidSect="008C06E2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94" w:rsidRDefault="00C80594" w:rsidP="006F3AFB">
      <w:pPr>
        <w:spacing w:after="0" w:line="240" w:lineRule="auto"/>
      </w:pPr>
      <w:r>
        <w:separator/>
      </w:r>
    </w:p>
  </w:endnote>
  <w:endnote w:type="continuationSeparator" w:id="1">
    <w:p w:rsidR="00C80594" w:rsidRDefault="00C80594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94" w:rsidRDefault="00C80594" w:rsidP="006F3AFB">
      <w:pPr>
        <w:spacing w:after="0" w:line="240" w:lineRule="auto"/>
      </w:pPr>
      <w:r>
        <w:separator/>
      </w:r>
    </w:p>
  </w:footnote>
  <w:footnote w:type="continuationSeparator" w:id="1">
    <w:p w:rsidR="00C80594" w:rsidRDefault="00C80594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AC1F47">
        <w:pPr>
          <w:pStyle w:val="a6"/>
          <w:jc w:val="center"/>
        </w:pPr>
        <w:fldSimple w:instr=" PAGE   \* MERGEFORMAT ">
          <w:r w:rsidR="002508E9">
            <w:rPr>
              <w:noProof/>
            </w:rPr>
            <w:t>2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20E8E"/>
    <w:multiLevelType w:val="hybridMultilevel"/>
    <w:tmpl w:val="9DA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7892"/>
    <w:multiLevelType w:val="hybridMultilevel"/>
    <w:tmpl w:val="82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6644B"/>
    <w:rsid w:val="00091125"/>
    <w:rsid w:val="00096739"/>
    <w:rsid w:val="000A5916"/>
    <w:rsid w:val="000C3C02"/>
    <w:rsid w:val="000D1916"/>
    <w:rsid w:val="000F11E0"/>
    <w:rsid w:val="00143F3C"/>
    <w:rsid w:val="00155B0C"/>
    <w:rsid w:val="001B093C"/>
    <w:rsid w:val="001F2F58"/>
    <w:rsid w:val="002208BF"/>
    <w:rsid w:val="002216C5"/>
    <w:rsid w:val="00221B34"/>
    <w:rsid w:val="00225553"/>
    <w:rsid w:val="002431F2"/>
    <w:rsid w:val="002508E9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80E4D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505F0"/>
    <w:rsid w:val="005744BB"/>
    <w:rsid w:val="0057774C"/>
    <w:rsid w:val="00585862"/>
    <w:rsid w:val="005B5CE1"/>
    <w:rsid w:val="005D3966"/>
    <w:rsid w:val="005E2E82"/>
    <w:rsid w:val="006043F8"/>
    <w:rsid w:val="00605CD3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658BE"/>
    <w:rsid w:val="00885B26"/>
    <w:rsid w:val="00886D31"/>
    <w:rsid w:val="008C06E2"/>
    <w:rsid w:val="008C2C43"/>
    <w:rsid w:val="008D0375"/>
    <w:rsid w:val="008D5C48"/>
    <w:rsid w:val="0092586E"/>
    <w:rsid w:val="0093593F"/>
    <w:rsid w:val="00945DE0"/>
    <w:rsid w:val="009548D7"/>
    <w:rsid w:val="00997937"/>
    <w:rsid w:val="009D5635"/>
    <w:rsid w:val="009F41AC"/>
    <w:rsid w:val="00A92852"/>
    <w:rsid w:val="00AC1E69"/>
    <w:rsid w:val="00AC1F47"/>
    <w:rsid w:val="00AD7C45"/>
    <w:rsid w:val="00B347EC"/>
    <w:rsid w:val="00B45374"/>
    <w:rsid w:val="00B63F28"/>
    <w:rsid w:val="00B915CA"/>
    <w:rsid w:val="00B91FB2"/>
    <w:rsid w:val="00B96573"/>
    <w:rsid w:val="00B96CCA"/>
    <w:rsid w:val="00BB059C"/>
    <w:rsid w:val="00BE10B2"/>
    <w:rsid w:val="00C30928"/>
    <w:rsid w:val="00C63B95"/>
    <w:rsid w:val="00C80594"/>
    <w:rsid w:val="00CE12F1"/>
    <w:rsid w:val="00CE42C4"/>
    <w:rsid w:val="00D77505"/>
    <w:rsid w:val="00D867E3"/>
    <w:rsid w:val="00D86A9C"/>
    <w:rsid w:val="00DA2FE1"/>
    <w:rsid w:val="00DD0D7C"/>
    <w:rsid w:val="00DE59C9"/>
    <w:rsid w:val="00E07FE4"/>
    <w:rsid w:val="00E66A75"/>
    <w:rsid w:val="00E66EEA"/>
    <w:rsid w:val="00E80077"/>
    <w:rsid w:val="00F2391B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80E4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3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48</cp:revision>
  <cp:lastPrinted>2018-12-10T07:19:00Z</cp:lastPrinted>
  <dcterms:created xsi:type="dcterms:W3CDTF">2017-09-27T04:34:00Z</dcterms:created>
  <dcterms:modified xsi:type="dcterms:W3CDTF">2018-12-10T07:20:00Z</dcterms:modified>
</cp:coreProperties>
</file>